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ectPr>
          <w:headerReference r:id="rId7" w:type="default"/>
          <w:footerReference r:id="rId8"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02">
      <w:pPr>
        <w:spacing w:after="240" w:before="120" w:lineRule="auto"/>
        <w:jc w:val="center"/>
        <w:rPr>
          <w:b w:val="1"/>
          <w:sz w:val="20"/>
          <w:szCs w:val="20"/>
          <w:u w:val="single"/>
        </w:rPr>
      </w:pPr>
      <w:r w:rsidDel="00000000" w:rsidR="00000000" w:rsidRPr="00000000">
        <w:rPr>
          <w:b w:val="1"/>
          <w:sz w:val="20"/>
          <w:szCs w:val="20"/>
          <w:u w:val="single"/>
          <w:rtl w:val="0"/>
        </w:rPr>
        <w:t xml:space="preserve">Standard Terms</w:t>
      </w:r>
    </w:p>
    <w:p w:rsidR="00000000" w:rsidDel="00000000" w:rsidP="00000000" w:rsidRDefault="00000000" w:rsidRPr="00000000" w14:paraId="00000003">
      <w:pPr>
        <w:spacing w:after="240" w:before="120" w:lineRule="auto"/>
        <w:rPr>
          <w:sz w:val="16"/>
          <w:szCs w:val="16"/>
        </w:rPr>
      </w:pPr>
      <w:r w:rsidDel="00000000" w:rsidR="00000000" w:rsidRPr="00000000">
        <w:rPr>
          <w:b w:val="1"/>
          <w:sz w:val="16"/>
          <w:szCs w:val="16"/>
          <w:rtl w:val="0"/>
        </w:rPr>
        <w:t xml:space="preserve">IT IS AGREED</w:t>
      </w:r>
      <w:r w:rsidDel="00000000" w:rsidR="00000000" w:rsidRPr="00000000">
        <w:rPr>
          <w:sz w:val="16"/>
          <w:szCs w:val="16"/>
          <w:rtl w:val="0"/>
        </w:rPr>
        <w:t xml:space="preserve"> as follows: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INTERPRETATION</w:t>
      </w:r>
    </w:p>
    <w:p w:rsidR="00000000" w:rsidDel="00000000" w:rsidP="00000000" w:rsidRDefault="00000000" w:rsidRPr="00000000" w14:paraId="0000000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the Agreement, unless the context otherwise requires the following words shall have the following meaning: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Agreement</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Standard Terms, the Term Sheet and any schedules attached hereto;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Applicable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Law</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any applicable law, statute, bye-law, regulation, order, regulatory policy, guidance or industry code, rule of court or directive or requirements or notice of any regulatory body, delegated or subordinate legislation, from time to time;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Business Day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a day other than a Saturday, Sunday or public holiday in Heidelberg;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30j0zll" w:id="0"/>
      <w:bookmarkEnd w:id="0"/>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Advertising Law</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relevant provisions of the German Act against Unfair Competition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Gesetz gegen den unlauteren Wettbewerb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UWG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German Act on Advertising in the Field of Health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Gesetz über die Werbung auf dem Gebiete des Heilwesens (Heilmittelwerbegesetz - HWG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the Press Law of the state of Baden-Württemberg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Gesetz über die Presse (Landespressegesetz</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the German State Treaty on Media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Medienstaatsvertrag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MStV</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and the Codex of the Press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Pressekodex</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of the German Press Council, as amended and updated from time to time;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Client Marks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marks as set out in the Term Sheet and any trade mark, logo, get-up or device associated with the activities of any of them;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Client Materials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all content, documents, information and any abstracts, manuscripts, images, drawings, specifications, data, logos, promotional material, animations and any other materials provided by the Client (including any such materials provided by the Client’s Related Persons for and on behalf of the Client) to the Publisher, including but not limited to the Client Marks;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Confidential Information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any and all confidential information in whatever form (whether written, oral, visual, electronic, magnetic or other media), however conveyed or presented, disclosed by a Party and/or its Related Persons to the other Party and/or its Related Persons concerning the business, affairs, operations, customers, prospective customers, processes, budgets, pricing policies, products, strategies, opportunities, developments, trade secrets, know-how, designs, software, personnel and suppliers of the disclosing Party or any of its holding or subsidiary companies together with all information derived by the other Party from any such information and any other information which ought reasonably be considered to be confidential or proprietary having regard to the nature of the information and the circumstances of the disclosure (whether or not it is marked "confidential");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Contract Manager</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each of the individuals set out on the Term Sheet, respectively appointed by the Publisher and the Client in accordance with clause 3.4;</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Fee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Fee set out in the Term Sheet;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Government Restriction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any Applicable Law or government order, rule, direction, or requirements or notice of or action taken by any regulatory body, government or public authority, including but not limited to imposing an embargo, or import restriction, quota or other restriction or prohibition, or refusal of any licence, permit or consent;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Affiliate Company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an "affiliate company"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verbundenes Unternehmen”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as defined in section 15 of the German Stock Corporations Act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Aktiengesetz</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Intellectual Property Rights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any and all patents, rights in inventions, utility models, copyright and neighbouring and related rights, trade marks, service marks, trade names,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and any other intellectual property rights, in each case whether registered or unregistered and including all applications for, and rights to apply for and be granted renewals or extensions of, and claim priority from such rights, and all similar or equivalent rights or forms of protection which subsist or will subsist now or in the future in any part of the world;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Journal</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relevant publication of the Publisher (print and/or on-line) set out in the Term Sheet;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Publication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Date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date the Sponsored Project is published in print and/or digital format by the Publisher;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Publisher Restriction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has the meaning set out in clause 8.2;</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Publisher Services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has the meaning set out in the Term Sheet;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Publisher Website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Publisher’s website at {</w:t>
      </w:r>
      <w:r w:rsidDel="00000000" w:rsidR="00000000" w:rsidRPr="00000000">
        <w:rPr>
          <w:rFonts w:ascii="Calibri" w:cs="Calibri" w:eastAsia="Calibri" w:hAnsi="Calibri"/>
          <w:b w:val="0"/>
          <w:i w:val="0"/>
          <w:smallCaps w:val="0"/>
          <w:strike w:val="0"/>
          <w:color w:val="0000ff"/>
          <w:sz w:val="16"/>
          <w:szCs w:val="16"/>
          <w:u w:val="none"/>
          <w:shd w:fill="auto" w:val="clear"/>
          <w:vertAlign w:val="baseline"/>
          <w:rtl w:val="0"/>
        </w:rPr>
        <w:t xml:space="preserve">WebsiteLocation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Related Persons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a Party’s employees, officers, representatives, agents, contractors, suppliers and/or advisers;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Relevant Requirements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has the meaning set out in clause 19.1.1;</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Sponsored Project</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content which the Publisher is intending to publish in the Journal or in a Supplement and in which it is agreed that the Client Material will appear, as set out in the Term Sheet and Schedule 1;</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Standard Terms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these standard terms and conditions, as set out in this document;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Supplement</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a standalone follow-on publication and/or update to the Journal;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Technical Specification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Publisher’s technical specification, as set out in Schedule 2;</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Term</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term of the Agreement, as set out in the Term Sheet, commencing on the Commencement Date;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Term Sheet</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front term sheet incorporating these Standard Terms, which forms part of the Agreement;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Website Location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part of the Publisher Website at which the Client Material will be accessible, as set out in the Term Sheet; and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59" w:lineRule="auto"/>
        <w:ind w:left="567"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Sponsor Feature Requirements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means the sponsor feature requirements, as set out in Schedule 3.</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Terms defined in the Term Sheet shall have the meaning specified in the Term Sheet.</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the Agreement (except where the context otherwise requires):</w:t>
      </w:r>
    </w:p>
    <w:p w:rsidR="00000000" w:rsidDel="00000000" w:rsidP="00000000" w:rsidRDefault="00000000" w:rsidRPr="00000000" w14:paraId="0000002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references to legislation or Applicable Law are to that legislation or Applicable Law as amended, extended or re-enacted from time to time and includes (a) all subordinate legislation made under it from time to time; and (b) any EU legislation;</w:t>
      </w:r>
    </w:p>
    <w:p w:rsidR="00000000" w:rsidDel="00000000" w:rsidP="00000000" w:rsidRDefault="00000000" w:rsidRPr="00000000" w14:paraId="0000002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reference to the singular includes a reference to the plural and vice versa;</w:t>
      </w:r>
    </w:p>
    <w:p w:rsidR="00000000" w:rsidDel="00000000" w:rsidP="00000000" w:rsidRDefault="00000000" w:rsidRPr="00000000" w14:paraId="0000002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unless the context otherwise requires, a reference to one gender shall include a reference to the other genders; </w:t>
      </w:r>
    </w:p>
    <w:p w:rsidR="00000000" w:rsidDel="00000000" w:rsidP="00000000" w:rsidRDefault="00000000" w:rsidRPr="00000000" w14:paraId="0000002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schedules to the Agreement are incorporated into and form part of the Agreement;</w:t>
      </w:r>
    </w:p>
    <w:p w:rsidR="00000000" w:rsidDel="00000000" w:rsidP="00000000" w:rsidRDefault="00000000" w:rsidRPr="00000000" w14:paraId="0000002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reference to any clause or schedule is to a clause or schedule (as the case may be) of or to the Agreement; and</w:t>
      </w:r>
    </w:p>
    <w:p w:rsidR="00000000" w:rsidDel="00000000" w:rsidP="00000000" w:rsidRDefault="00000000" w:rsidRPr="00000000" w14:paraId="000000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term ʺincludingʺ, “include”, “excluding”, “exclude”, “in particular” or any similar terms as used in the Agreement shall be construed as illustrative only and shall not limit the sense of the words preceding and without limiting, respectively, the generality of any description preceding such term.</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Headings are for convenience only and shall not affect the interpretation of these Standard Terms.</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Agreement shall be binding upon, and enure to the benefit of, the Parties and their respective personal representatives, successors and permitted assignees, and references to any Party shall include that Party’s personal representatives, successors and permitted assignees.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APPLICATION OF THESE STANDARD TERMS</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These Standard Terms and the terms set out in the Term Sheet are the only conditions upon which the Publisher is prepared to deal with the Client and they shall govern the Agreement to the entire exclusion of all other terms and conditions.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 terms or conditions (other than these Standard Terms and those set out in the Term Sheet) endorsed upon, delivered with or contained in any other document (whether or not any such document is referred to in the Agreement) or any other terms that the Client seeks to impose or incorporate will form part of the Agreement.</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APPOINTMENT</w:t>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Client appoints the Publisher, on the terms set out in the Term Sheet, to provide the Publisher Services.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Agreement is entered into, and the Client acknowledges and agrees that the Agreement is, on a non-exclusive basis.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 shall be free to engage with any other person (including, but not limited to, other sponsors) in respect of the Publisher Services and/or in connection with the Sponsored Project and all associated material. Nothing shall prevent the Publisher from being entitled to market and/or sell the Publisher Services and/or the Sponsored Project to any third party.</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Each Party shall appoint (and, as it thinks appropriate, replace) a Contract Manager, who shall (except as otherwise expressly notified in writing) have the authority contractually to bind the Publisher and the Client, as applicable, on all matters relating to the Publisher Services and to the Agreement.</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 Contract Manager is deemed to have been replaced only after the relevant Party has notified the other Party in writing of the name, title and contact details of the person it has appointed as its new Contract Manager.</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PAYMENT </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consideration of the Publisher Services, the Client shall pay the Fees, on such dates and as specified within the Term Sheet, together with any applicable VAT and any interest payable under clause 4.4, to the Publisher. The Fees shall be payable in addition to all charges, fees, costs and/or expenses incurred by the Publisher in performing the Publisher Services, including payments for production and/or media in connection with the Publisher Services.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bookmarkStart w:colFirst="0" w:colLast="0" w:name="_heading=h.1fob9te" w:id="1"/>
      <w:bookmarkEnd w:id="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 shall invoice the Client for the Fees in accordance with the Term Sheet and in respect of any charges, fees, costs and/or expenses incurred by the Publisher in performing the Publisher Services. The Client shall pay all invoices, in cash or cleared funds, within thirty (30) days following the date of such invoice. The Client accepts that the Publisher may send all invoices in electronic form.</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bookmarkStart w:colFirst="0" w:colLast="0" w:name="_heading=h.3znysh7" w:id="2"/>
      <w:bookmarkEnd w:id="2"/>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Client shall pay all invoices without deduction, whether by way of set-off, counterclaim, discount, abatement or otherwise unless required by law. This does not apply to deductions based on counterclaims arising out of deficient performance or non-performance by the Publisher.</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bookmarkStart w:colFirst="0" w:colLast="0" w:name="_heading=h.2et92p0" w:id="3"/>
      <w:bookmarkEnd w:id="3"/>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If the Client fails to make any payment due to the Publisher under the Agreement then the Publisher may charge the Client interest plus a lump fee for default according to statute law. Such interest shall accrue daily from the date on which the Client is in default until the date of actual payment of the overdue amount, whether before or after judgment. The Client shall be in default (i) after a reminder or (ii) at the latest if fails to make payment within thirty (30) days after the due date under clause 4.2 and receipt of the invoice.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All Fees and prices are exclusive of any excise, sales, transfer or other taxes and duties imposed by governmental authorities. The Client shall bear all excise, sales, transfer or other taxes and duties imposed by governmental authorities under the Agreement.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Client must make all payments under the Agreement free from any deduction or withholding for or on account of any excise, sales, transfer or other taxes and duties imposed by governmental authorities. If the Client is required by law to make any such deduction or withholding, it shall:</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pay to the Publisher any additional amount as may be necessary to ensure that the Publisher receives the full amount of the relevant payment as if that deduction or withholding had not been made; and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supply promptly to the Publisher evidence satisfactory to Publisher that it has accounted to the relevant authority for the deduction or withholding.</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PUBLISHER OBLIGATIONS</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 agrees to provide the Publisher Services, as specified within the Term Sheet, in consideration of the payment of the Fee and Client’s compliance with the terms of the Agreement.</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 shall use its reasonable endeavours to provide the Publisher Services within reasonable timeframes.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Delivery of the Publisher Services shall be completed on Publisher’s publication of the Journal or Supplement, as applicable, within which the Sponsored Project is published.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 shall retain editorial control over any and all materials or deliverables produced by the Publisher through the course of performing, or arising out of, the Publisher Services.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Publication of the Sponsored Project is at the sole and absolute discretion of the Publisher, and any failure by the Publisher to publish, or non-publication of, the Sponsored Project, for any reason whatsoever, shall not be a breach by it of this Agreement. If applicable, the Publisher shall notify the Client in writing as soon as reasonably practicable after it has taken a firm decision not to publish the Sponsored Project. The Agreement shall immediately terminate on the date of the notice of non-publication or cancellation of the Sponsored Project by the Publisher.</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CLIENT OBLIGATIONS</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Client shall:</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provide Client Materials to the Publisher, in the format required by the Publisher, within the deadlines specified by the Publisher in Schedule 1, the Technical Specification, and/or Sponsor Feature Requirements or similar document provided by the Publisher;</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comply with all reasonable instructions and directions given by the Publisher;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ensure that the Client Materials comply with the Technical Specification and the Sponsor Feature Requirements;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ensure that, it does not interfere with the activities of the Publisher or its respective Related Persons or customers;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not knowingly undertake any activities which may in any way harm the Publisher’s business or reputation;</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avoid conflicts of interests with the Publisher arising and promptly notify the Publisher of any that do arise;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obtain and maintain in full force all necessary consents, approvals, authorisations, licences and permissions which are required for it to perform its obligations under the Agreement; and</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on request, provide reasonable co-operation with the Publisher and its Related Persons.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Publisher’s performance of the Publisher Services is subject to the Client’s compliance with clause 6.1.</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 may approve or reject the Client Materials at its discretion if they do not comply, or the Publisher has reason to believe that they do not comply, with Applicable Law, in particular Advertising law and/or the use of the Client Materials would be likely to expose the Publisher to legal risks or to bring the Publisher into disrepute or to cause material damage to the reputation, standing and/or goodwill of the Publisher. Such approval or rejection shall be notified to the Client, in writing. The Client acknowledges and agrees that the Publisher is under no obligation under the Agreement, or otherwise, to make any use of, perform the Publisher Services in respect of or publish, the whole, or any part of, the Client Materials unless such Client Materials are in full compliance with this Agreement and approved by the Publisher.</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 may amend, adapt or change the Client Materials, in any way it sees fit, if the Client or the Client Materials fail, in any way whatsoever, to comply with clauses 6.1, 6.3 or 8.1.</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INTELLECTUAL PROPERTY RIGHTS</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Except as expressly set out in the Agreement, nothing in the Agreement shall confer any rights, title or interest in or to any Intellectual Property Rights in:</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website owned or controlled by the Publisher (including without limitation the Publisher Website, any domain name owned or controlled by the Publisher and the Website Location) or any part of either of them onto the Client or confer on it any licence or right to use any Intellectual Property Rights of the Publisher, all of which rights are reserved exclusively by the Publisher absolutely;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Journal and/or any Supplement, all of which rights are reserved exclusively by the Publisher absolutely, excluding the Client Materials as set out in clause 7.1.3; and</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Client Materials onto the Publisher, and the Parties acknowledge and agree that the Intellectual Property Rights in the Client Materials belong solely to the Client.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Client hereby grants to the Publisher a worldwide, non-exclusive, royalty free, perpetual, transferable and sub-licensable licence to store (in any medium), modify, reproduce, distribute and make available to the public the Client Materials in print and/or digital form for the purposes of fulfilling its obligations under the Agreement.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If the Client Materials include any material that is proprietary to any third party (including, without limitation, images, graphs or tables) the Client shall procure a licence for the Publisher, on the same terms as set out in clause 7.2, in respect of such material and be responsible for obtaining all permissions, in writing, to enable it to grant to the Publisher the licence in clause 7.2. The Client shall obtain such licence and permissions prior to disclosing such Client Materials to the Publisher and shall provide evidence of such licence and/or permissions to the Publisher, if requested.</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WARRANTIES, REPRESENTATIONS AND INDEMNIFICATION</w:t>
      </w:r>
    </w:p>
    <w:p w:rsidR="00000000" w:rsidDel="00000000" w:rsidP="00000000" w:rsidRDefault="00000000" w:rsidRPr="00000000" w14:paraId="0000005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Client warrants, represents and undertakes that:</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it has, and will continue to hold, all consents, authorisations, licences, permissions and regulatory approvals necessary to enter into the Agreement, undertake its obligations as set out herein and grant the rights granted hereunder; </w:t>
      </w:r>
    </w:p>
    <w:p w:rsidR="00000000" w:rsidDel="00000000" w:rsidP="00000000" w:rsidRDefault="00000000" w:rsidRPr="00000000" w14:paraId="0000005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performing its obligations under the Agreement, it will comply with all Applicable Laws and Government Restrictions; </w:t>
      </w:r>
    </w:p>
    <w:p w:rsidR="00000000" w:rsidDel="00000000" w:rsidP="00000000" w:rsidRDefault="00000000" w:rsidRPr="00000000" w14:paraId="0000005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it has, and will continue to have, all necessary rights in and to the Client Materials, including any and all Intellectual Property Rights in such Client Materials, and any other materials made available by the Client to the Publisher or which are otherwise necessary to perform the Publisher’s obligations under the Agreement; </w:t>
      </w:r>
    </w:p>
    <w:p w:rsidR="00000000" w:rsidDel="00000000" w:rsidP="00000000" w:rsidRDefault="00000000" w:rsidRPr="00000000" w14:paraId="0000005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Client Materials comply with the Technical Specification and the Sponsor Feature Requirements;</w:t>
      </w:r>
    </w:p>
    <w:p w:rsidR="00000000" w:rsidDel="00000000" w:rsidP="00000000" w:rsidRDefault="00000000" w:rsidRPr="00000000" w14:paraId="0000005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tyjcwt" w:id="4"/>
      <w:bookmarkEnd w:id="4"/>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none of and nothing in the Client Materials shall bring the Publisher into disrepute or is likely to or will cause material damage to the reputation, standing and/or goodwill of the Publisher;</w:t>
      </w:r>
    </w:p>
    <w:p w:rsidR="00000000" w:rsidDel="00000000" w:rsidP="00000000" w:rsidRDefault="00000000" w:rsidRPr="00000000" w14:paraId="0000005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none of and nothing in the Client Materials is obscene, indecent, pornographic, seditious, offensive, defamatory, threatening, is liable to incite racial hatred or acts of terrorism, menacing, blasphemous, violates any right of privacy, infringes any Intellectual Property Rights of any third party, infringes any duty of confidentiality, violates any contract, express or implied, or is otherwise unlawful; and</w:t>
      </w:r>
    </w:p>
    <w:p w:rsidR="00000000" w:rsidDel="00000000" w:rsidP="00000000" w:rsidRDefault="00000000" w:rsidRPr="00000000" w14:paraId="0000006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all written information (including, but not limited to the Client Materials) provided to the Publisher is true, accurate, comprehensive, not misleading, in good English and complies with Advertising Law at the time provided to the Publisher and shall remain so in all material respects.</w:t>
      </w:r>
    </w:p>
    <w:p w:rsidR="00000000" w:rsidDel="00000000" w:rsidP="00000000" w:rsidRDefault="00000000" w:rsidRPr="00000000" w14:paraId="0000006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If, during the Term, any Government Restriction is enacted, levied or imposed which impacts the provision of the Publisher Services, whether in whole or in part,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Publisher</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Restriction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the Client warrants that it shall obtain and maintain all applicable consents, authorisations, licences, permissions and regulatory approvals necessary for the Publisher to continue to provide the Publisher Services and/or to remove such Publisher Restriction. The Publisher shall not be liable to the Client or be in breach for any delay or prevention in performing any of its obligations under the Agreement arising from or attributable to a Publisher Restriction, which shall not excuse the Client from its payment or other obligations owing by it to the Publisher under the Agreement. </w:t>
      </w:r>
    </w:p>
    <w:p w:rsidR="00000000" w:rsidDel="00000000" w:rsidP="00000000" w:rsidRDefault="00000000" w:rsidRPr="00000000" w14:paraId="0000006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Client shall defend, indemnify and keep indemnified the Publisher in full and hold it harmless on demand from and against any and all losses (including any direct, indirect or consequential losses, loss of profit and loss of reputation), third party claims, damages, liabilities, fines, interest, penalties, costs, charges, expenses, demands, legal and other professional costs (calculated on a full indemnity basis) incurred by, awarded against, suffered by or agreed to be paid by the Publisher arising out of or in connection with the Client’s breach of clause 8.1. </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LIABILITY</w:t>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3dy6vkm" w:id="5"/>
      <w:bookmarkEnd w:id="5"/>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Either Party’s liability shall not be limited in any event for any loss or damage which is (a) due to intent or gross negligence; (b) for loss of life, limb, or health. Strict liability under the German Product Liability Act shall not be limited.</w:t>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If an essential contractual obligation (i.e. an obligation the performance of which is necessary for due implementation of the contract, the performance of which a contractual partner generally may rely on, and the breach of which jeopardises the attainment of the purpose of the contract) was breached due to slight negligence, either Party’s liability shall be limited to that loss or damage the occurrence of which is typical with regard to the nature of the contract and was foreseeable at the time of conclusion of the contract.</w:t>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all other cases, either Party shall not be liable, for whatever cause in law.</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TERM AND TERMINATION</w:t>
      </w:r>
    </w:p>
    <w:p w:rsidR="00000000" w:rsidDel="00000000" w:rsidP="00000000" w:rsidRDefault="00000000" w:rsidRPr="00000000" w14:paraId="000000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Agreement shall commence on the Commencement Date and (unless terminated earlier by either Party in accordance with the terms of clause 10.2 or by the Publisher in accordance with clause 10.3) shall continue in force for the Term.</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Without prejudice to any rights that have accrued under the Agreement or any of its rights or remedies, the Agreement may be terminated by either Party with immediate effect by giving written notice if:</w:t>
      </w:r>
    </w:p>
    <w:p w:rsidR="00000000" w:rsidDel="00000000" w:rsidP="00000000" w:rsidRDefault="00000000" w:rsidRPr="00000000" w14:paraId="0000006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other Party fails to pay any amount due under the Agreement on the due date for payment and remains in default for more than ten (10) days after being notified in writing to make such payment;</w:t>
      </w:r>
    </w:p>
    <w:p w:rsidR="00000000" w:rsidDel="00000000" w:rsidP="00000000" w:rsidRDefault="00000000" w:rsidRPr="00000000" w14:paraId="0000006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other Party commits a material breach of the Agreement and (if such breach is remediable) fails to remedy that breach within a period of thirty (30) days after being notified in writing to do so, or the other Party commits a material breach of the Agreement which is incapable of remedy;</w:t>
      </w:r>
    </w:p>
    <w:p w:rsidR="00000000" w:rsidDel="00000000" w:rsidP="00000000" w:rsidRDefault="00000000" w:rsidRPr="00000000" w14:paraId="0000006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other Party repeatedly breaches any of the terms of the Agreement in such a manner as to reasonably justify the opinion that its conduct is inconsistent with it having the intention or ability to give effect to the terms of the Agreement; or</w:t>
      </w:r>
    </w:p>
    <w:p w:rsidR="00000000" w:rsidDel="00000000" w:rsidP="00000000" w:rsidRDefault="00000000" w:rsidRPr="00000000" w14:paraId="0000006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other Party ceases to do business, becomes unable to pay its debts when they fall due, becomes insolvent, has a receiver, manager, administrator, administrative receiver or similar officer appointed in respect of the whole or any part of its assets or business, makes any composition or arrangement with its creditors, takes or suffers any similar action in consequence of debt, an order or resolution is made for its dissolution or liquidation (other than for the purpose of solvent amalgamation or reconstruction) or enters into liquidation whether compulsorily or voluntarily.</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 may, without prejudice to any rights that have accrued under the Agreement or any of its rights or remedies, terminate the Agreement immediately:</w:t>
      </w:r>
    </w:p>
    <w:p w:rsidR="00000000" w:rsidDel="00000000" w:rsidP="00000000" w:rsidRDefault="00000000" w:rsidRPr="00000000" w14:paraId="0000006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pursuant to clause 5.5; or</w:t>
      </w:r>
    </w:p>
    <w:p w:rsidR="00000000" w:rsidDel="00000000" w:rsidP="00000000" w:rsidRDefault="00000000" w:rsidRPr="00000000" w14:paraId="0000007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on the Client’s breach of clauses 8.1 or 8.2. </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CONSEQUENCES OF TERMINATlION</w:t>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All rights and licences granted by one Party to the other hereunder shall terminate upon termination or expiry of the Agreement, except as otherwise set out expressly in the Agreement. </w:t>
      </w:r>
    </w:p>
    <w:p w:rsidR="00000000" w:rsidDel="00000000" w:rsidP="00000000" w:rsidRDefault="00000000" w:rsidRPr="00000000" w14:paraId="0000007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If the Agreement is terminated by the Client pursuant to clause 10.2 or expires, prior to the Publication Date, the Publisher shall refund to the Client the Fee, or part thereof, already paid by the Client as at the Publication Date (if any). Such refund shall not be payable or be due, if expiry or termination of the Agreement occurs on or after the Publication Date, for any reason whatsoever. </w:t>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If the Agreement terminates or expires, for any reason whatsoever, on or after the Publication Date the Publisher shall have no further obligations to the Client, whether under the Agreement or otherwise.</w:t>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accrued rights, remedies, obligations and liabilities of the Parties as at termination or expiry of the Agreement shall not be affected or prejudiced by any such expiry or termination of the Agreement, including the right to claim damages in respect of any breach of the Agreement which existed at or before the date of termination. </w:t>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Clauses which expressly or by implication are intended to come into or continue in force on or after the expiry or termination of the Agreement, shall remain in full force and effect following termination or expiry of the Agreement including, without limitation, clauses 4, 7, 8, 9, 11, 13, 15, 16, 17, 18 and 20. </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FORCE MAJEURE</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If either Party is delayed or prevented in the performance of any of its obligations under the Agreement, by an event, circumstance or cause beyond its reasonable control which, by its nature, could not have been foreseen or, if foreseeable, was unavoidable that Party shall not be liable to the other Party or be in breach for the delay or prevention in performing any of its obligations under the Agreement and the time for performance of the affected obligation shall be extended by such period as is reasonable to enable that Party, using all reasonable endeavours, to perform that obligation.</w:t>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If the performance of any of the Publisher’s obligations under the Agreement is delayed or prevented as described in clause 12.2 for a continuous period of two (2) months, either Party may terminate the Agreement, without liability to the other Party, by giving notice to the other Party. </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CONFIDENTIALITY</w:t>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Neither Party may make an announcement or press release concerning the subject matter of the Agreement without the prior consent of the other Party.</w:t>
      </w:r>
    </w:p>
    <w:p w:rsidR="00000000" w:rsidDel="00000000" w:rsidP="00000000" w:rsidRDefault="00000000" w:rsidRPr="00000000" w14:paraId="000000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Each Party shall at all times (during the Term of the Agreement or following its expiry or earlier termination):</w:t>
      </w:r>
    </w:p>
    <w:p w:rsidR="00000000" w:rsidDel="00000000" w:rsidP="00000000" w:rsidRDefault="00000000" w:rsidRPr="00000000" w14:paraId="0000007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except as permitted by clause 13.3, keep the Confidential Information confidential and shall not disclose any Confidential Information to any other person other than with the prior written consent of the other Party; or</w:t>
      </w:r>
    </w:p>
    <w:p w:rsidR="00000000" w:rsidDel="00000000" w:rsidP="00000000" w:rsidRDefault="00000000" w:rsidRPr="00000000" w14:paraId="0000007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any of the other Party’s Confidential Information for any purpose other than to perform its obligations and/or exercise its rights under the Agreement.</w:t>
      </w:r>
    </w:p>
    <w:p w:rsidR="00000000" w:rsidDel="00000000" w:rsidP="00000000" w:rsidRDefault="00000000" w:rsidRPr="00000000" w14:paraId="000000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Each Party may disclose Confidential Information:</w:t>
      </w:r>
    </w:p>
    <w:p w:rsidR="00000000" w:rsidDel="00000000" w:rsidP="00000000" w:rsidRDefault="00000000" w:rsidRPr="00000000" w14:paraId="0000008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which now is or becomes public knowledge otherwise than by breach of this Agreement by the Party receiving the </w:t>
      </w:r>
    </w:p>
    <w:p w:rsidR="00000000" w:rsidDel="00000000" w:rsidP="00000000" w:rsidRDefault="00000000" w:rsidRPr="00000000" w14:paraId="0000008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Confidential Information;</w:t>
      </w:r>
    </w:p>
    <w:p w:rsidR="00000000" w:rsidDel="00000000" w:rsidP="00000000" w:rsidRDefault="00000000" w:rsidRPr="00000000" w14:paraId="0000008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to its Related Persons but only to the extent they need to know such Confidential Information to enable that Party to perform its obligations and/or exercise its rights under the Agreement. The disclosing Party shall procure that such Related Persons only use the information for that purpose, knows the information is confidential and does not disclose the information. Each Party shall be responsible for any failure of its Related Persons to observe the obligations in this clause 13 as though it were a breach of this clause 13 committed by that Party; </w:t>
      </w:r>
    </w:p>
    <w:p w:rsidR="00000000" w:rsidDel="00000000" w:rsidP="00000000" w:rsidRDefault="00000000" w:rsidRPr="00000000" w14:paraId="0000008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as required by Applicable Law;</w:t>
      </w:r>
    </w:p>
    <w:p w:rsidR="00000000" w:rsidDel="00000000" w:rsidP="00000000" w:rsidRDefault="00000000" w:rsidRPr="00000000" w14:paraId="0000008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1t3h5sf" w:id="6"/>
      <w:bookmarkEnd w:id="6"/>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if </w:t>
      </w:r>
      <w:r w:rsidDel="00000000" w:rsidR="00000000" w:rsidRPr="00000000">
        <w:rPr>
          <w:sz w:val="16"/>
          <w:szCs w:val="16"/>
          <w:rtl w:val="0"/>
        </w:rPr>
        <w:t xml:space="preserve">disclosure is justified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under Section 5 of the German Trade Secrets Act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Gesetz zum Schutz von Geschäftsgeheimnissen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GeschGehG</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ASSIGNMENT</w:t>
      </w:r>
    </w:p>
    <w:p w:rsidR="00000000" w:rsidDel="00000000" w:rsidP="00000000" w:rsidRDefault="00000000" w:rsidRPr="00000000" w14:paraId="000000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Agreement may not be assigned by either Party in whole or in part without the prior written consent of the other Party, except that either Party without such consent may assign the Agreement and its rights and obligations hereunder to any Affiliate Company of that Party, including its holding company (and each of its subsidiaries) or subsidiary companies, or any successor in interest (whether by merger, acquisition, asset purchase or otherwise) to all or substantially all of the business to which the Agreement relates.</w:t>
      </w:r>
    </w:p>
    <w:p w:rsidR="00000000" w:rsidDel="00000000" w:rsidP="00000000" w:rsidRDefault="00000000" w:rsidRPr="00000000" w14:paraId="000000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 shall be entitled to </w:t>
      </w:r>
      <w:r w:rsidDel="00000000" w:rsidR="00000000" w:rsidRPr="00000000">
        <w:rPr>
          <w:sz w:val="16"/>
          <w:szCs w:val="16"/>
          <w:rtl w:val="0"/>
        </w:rPr>
        <w:t xml:space="preserve">subcontract</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any of its obligations under the Agreement without requiring the prior consent of the Client. </w:t>
      </w:r>
    </w:p>
    <w:p w:rsidR="00000000" w:rsidDel="00000000" w:rsidP="00000000" w:rsidRDefault="00000000" w:rsidRPr="00000000" w14:paraId="0000008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 shall always have the right to perform any or all of its obligations and exercise any or all of its rights under the Agreement through any Affiliate Company, including its holding company (and each of its subsidiaries) or subsidiary companies.</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ENTIRE AGREEMENT</w:t>
      </w:r>
    </w:p>
    <w:p w:rsidR="00000000" w:rsidDel="00000000" w:rsidP="00000000" w:rsidRDefault="00000000" w:rsidRPr="00000000" w14:paraId="0000008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Agreement and the documents referred to in the Agreement constitute the entire agreement and understanding of the Parties and supersedes and extinguishes all previous drafts, agreements and understandings between them, whether oral or in writing, relating to its subject matter.</w:t>
      </w:r>
    </w:p>
    <w:p w:rsidR="00000000" w:rsidDel="00000000" w:rsidP="00000000" w:rsidRDefault="00000000" w:rsidRPr="00000000" w14:paraId="0000008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Each Party acknowledges and agrees that in entering into the Agreement it does not rely on, and shall have no remedies in respect of, any statement, representation, assurance, warranty or understanding made by or on behalf of a Party (whether made innocently or negligently) which is not expressly set out in the Agreement.</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NOTICES</w:t>
      </w:r>
    </w:p>
    <w:p w:rsidR="00000000" w:rsidDel="00000000" w:rsidP="00000000" w:rsidRDefault="00000000" w:rsidRPr="00000000" w14:paraId="0000008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notice or other written communication given under or in connection with the Agreement may be delivered personally or sent by post to the addresses set out on the Term Sheet</w:t>
      </w:r>
      <w:r w:rsidDel="00000000" w:rsidR="00000000" w:rsidRPr="00000000">
        <w:rPr>
          <w:sz w:val="16"/>
          <w:szCs w:val="16"/>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but not by email or fax or any other means, and marked for the attention of the ‘General Counsel’.</w:t>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WAIVER</w:t>
      </w:r>
    </w:p>
    <w:p w:rsidR="00000000" w:rsidDel="00000000" w:rsidP="00000000" w:rsidRDefault="00000000" w:rsidRPr="00000000" w14:paraId="000000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 failure to exercise or delay in exercising, a right, power or remedy provided by the Agreement or by law shall not constitute a waiver of that or any other, right, power or remedy and shall not, and nor shall any single or partial exercise of any such right, power or remedy, preclude the further exercise of that, or any other, right, power or remedy.</w:t>
      </w:r>
    </w:p>
    <w:p w:rsidR="00000000" w:rsidDel="00000000" w:rsidP="00000000" w:rsidRDefault="00000000" w:rsidRPr="00000000" w14:paraId="0000009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Any waiver of any right under the Agreement is only effective if it is in writing and it shall only apply to the Party to whom the waiver is addressed and to the circumstances for which it is given.</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INTERPRETATION, GOVERNING LAW AND JURISDICTION</w:t>
      </w:r>
    </w:p>
    <w:p w:rsidR="00000000" w:rsidDel="00000000" w:rsidP="00000000" w:rsidRDefault="00000000" w:rsidRPr="00000000" w14:paraId="0000009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4d34og8" w:id="7"/>
      <w:bookmarkEnd w:id="7"/>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Agreement and any disputes or claims arising out of or in connection with it or its subject matter or formation (including non-contractual disputes and claims) shall be governed by and construed in accordance with the laws of the Federal Republic of Germany. Any term which is not defined in the Agreement shall have the meaning that the corresponding German term has under the law of the Federal Republic of Germany, including EU law.</w:t>
      </w:r>
    </w:p>
    <w:p w:rsidR="00000000" w:rsidDel="00000000" w:rsidP="00000000" w:rsidRDefault="00000000" w:rsidRPr="00000000" w14:paraId="0000009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Parties irrevocably agree that the courts at Heidelberg, Germany shall have exclusive jurisdiction to settle any such matter. The Publisher reserves the right to bring action before any court with jurisdiction over the Client.</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ANTI-BRIBERY AND CORRUPTION</w:t>
      </w:r>
    </w:p>
    <w:p w:rsidR="00000000" w:rsidDel="00000000" w:rsidP="00000000" w:rsidRDefault="00000000" w:rsidRPr="00000000" w14:paraId="000000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Client and is officers shall at all times comply in full with: </w:t>
      </w:r>
    </w:p>
    <w:p w:rsidR="00000000" w:rsidDel="00000000" w:rsidP="00000000" w:rsidRDefault="00000000" w:rsidRPr="00000000" w14:paraId="0000009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all applicable anti-bribery and corruption laws, statutes, regulations and codes relating to bribery and other corruption including but not limited to Sections 299 et seq. and Sections 331 et seq. of the German Criminal Code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Strafgesetzbuch”</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Relevant</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Requirements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and </w:t>
      </w:r>
    </w:p>
    <w:p w:rsidR="00000000" w:rsidDel="00000000" w:rsidP="00000000" w:rsidRDefault="00000000" w:rsidRPr="00000000" w14:paraId="0000009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2s8eyo1" w:id="8"/>
      <w:bookmarkEnd w:id="8"/>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Publisher’s Business Partner Code of Conduct as amended from time to time (and currently available at</w:t>
        <w:br w:type="textWrapping"/>
      </w:r>
      <w:hyperlink r:id="rId9">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www.springernature.com/businesspartnercodeofconduct-EN</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Client shall have and shall maintain in place throughout the Term its own policies and procedures to ensure compliance with the Relevant Requirements.</w:t>
      </w:r>
    </w:p>
    <w:p w:rsidR="00000000" w:rsidDel="00000000" w:rsidP="00000000" w:rsidRDefault="00000000" w:rsidRPr="00000000" w14:paraId="0000009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Neither the Client nor any person acting on the Client’s behalf: </w:t>
      </w:r>
    </w:p>
    <w:p w:rsidR="00000000" w:rsidDel="00000000" w:rsidP="00000000" w:rsidRDefault="00000000" w:rsidRPr="00000000" w14:paraId="0000009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has directly or indirectly: </w:t>
      </w:r>
    </w:p>
    <w:p w:rsidR="00000000" w:rsidDel="00000000" w:rsidP="00000000" w:rsidRDefault="00000000" w:rsidRPr="00000000" w14:paraId="0000009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120" w:line="259" w:lineRule="auto"/>
        <w:ind w:left="1418" w:right="0" w:hanging="284.00000000000006"/>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paid, provided, offered or authorised any payment, gift, inducement or other benefit to any person including any governmental or regulatory entity or official in any territory for the purpose of improperly obtaining, retaining or directing business or to secure or obtain any improper business advantage; </w:t>
      </w:r>
    </w:p>
    <w:p w:rsidR="00000000" w:rsidDel="00000000" w:rsidP="00000000" w:rsidRDefault="00000000" w:rsidRPr="00000000" w14:paraId="0000009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240" w:before="120" w:line="259" w:lineRule="auto"/>
        <w:ind w:left="1418" w:right="0" w:hanging="284.00000000000006"/>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received, accepted or authorised any such benefit from any such person for any such purpose; nor </w:t>
      </w:r>
    </w:p>
    <w:p w:rsidR="00000000" w:rsidDel="00000000" w:rsidP="00000000" w:rsidRDefault="00000000" w:rsidRPr="00000000" w14:paraId="0000009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40" w:before="120" w:line="259" w:lineRule="auto"/>
        <w:ind w:left="1134"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shall directly or indirectly do any of the foregoing at any time during the Term. </w:t>
      </w:r>
    </w:p>
    <w:p w:rsidR="00000000" w:rsidDel="00000000" w:rsidP="00000000" w:rsidRDefault="00000000" w:rsidRPr="00000000" w14:paraId="0000009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Notwithstanding any other provision of the Agreement, any breach by the Client or its officers of this clause 19 may be regarded by the Publisher as a material breach incapable of remedy and permitting the Publisher, without prejudice to its other rights and remedies, to terminate the Agreement on immediate written notice pursuant to clause 10.2.2.</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GENERAL </w:t>
      </w:r>
    </w:p>
    <w:p w:rsidR="00000000" w:rsidDel="00000000" w:rsidP="00000000" w:rsidRDefault="00000000" w:rsidRPr="00000000" w14:paraId="000000A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Agreement may be executed in any number of counterparts or duplicates each of which shall be an original but such counterparts or duplicates shall together constitute one and the same agreement.</w:t>
      </w:r>
    </w:p>
    <w:p w:rsidR="00000000" w:rsidDel="00000000" w:rsidP="00000000" w:rsidRDefault="00000000" w:rsidRPr="00000000" w14:paraId="000000A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Agreement does not constitute, establish or imply any partnership, joint venture, agency, employment or fiduciary relationship between the Parties. The Client shall not have, nor represent that it has, any authority to make or enter into any commitments on the Publisher’s behalf or otherwise bind the Publisher in any way.</w:t>
      </w:r>
    </w:p>
    <w:p w:rsidR="00000000" w:rsidDel="00000000" w:rsidP="00000000" w:rsidRDefault="00000000" w:rsidRPr="00000000" w14:paraId="000000A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rights and remedies provided under these Standard Terms are in addition to, and not exclusive of, any rights or remedies provided by law. Any right or remedy expressly included in any provision of these Standard Terms (or the exercise thereof) shall not be considered as limiting the Publisher’s rights or remedies under any other provision of these Standard Terms (or the exercise thereof).</w:t>
      </w:r>
    </w:p>
    <w:p w:rsidR="00000000" w:rsidDel="00000000" w:rsidP="00000000" w:rsidRDefault="00000000" w:rsidRPr="00000000" w14:paraId="000000A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If any provision, or part of a provision, of the Agreement is found by any court or administrative body of competent jurisdiction to be invalid, illegal or unenforceable (a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void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provision</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such invalidity, illegality or unenforceability shall not affect the other provisions of the Agreement, which shall remain in full force and effect. </w:t>
      </w:r>
    </w:p>
    <w:p w:rsidR="00000000" w:rsidDel="00000000" w:rsidP="00000000" w:rsidRDefault="00000000" w:rsidRPr="00000000" w14:paraId="000000A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40" w:before="120" w:line="259" w:lineRule="auto"/>
        <w:ind w:left="567" w:right="0" w:hanging="567"/>
        <w:jc w:val="left"/>
        <w:rPr>
          <w:rFonts w:ascii="Calibri" w:cs="Calibri" w:eastAsia="Calibri" w:hAnsi="Calibri"/>
          <w:b w:val="0"/>
          <w:i w:val="0"/>
          <w:smallCaps w:val="0"/>
          <w:strike w:val="0"/>
          <w:color w:val="000000"/>
          <w:sz w:val="16"/>
          <w:szCs w:val="16"/>
          <w:u w:val="none"/>
          <w:shd w:fill="auto" w:val="clear"/>
          <w:vertAlign w:val="baseline"/>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 variation of the Agreement shall be valid unless it is in writing and signed by or on behalf of each of the Parties.</w:t>
      </w:r>
    </w:p>
    <w:p w:rsidR="00000000" w:rsidDel="00000000" w:rsidP="00000000" w:rsidRDefault="00000000" w:rsidRPr="00000000" w14:paraId="000000A5">
      <w:pPr>
        <w:spacing w:after="240" w:before="120" w:lineRule="auto"/>
        <w:rPr/>
        <w:sectPr>
          <w:type w:val="continuous"/>
          <w:pgSz w:h="16838" w:w="11906"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A6">
      <w:pPr>
        <w:spacing w:after="240" w:before="120" w:lineRule="auto"/>
        <w:jc w:val="center"/>
        <w:rPr>
          <w:b w:val="1"/>
          <w:sz w:val="24"/>
          <w:szCs w:val="24"/>
          <w:u w:val="single"/>
        </w:rPr>
      </w:pPr>
      <w:r w:rsidDel="00000000" w:rsidR="00000000" w:rsidRPr="00000000">
        <w:rPr>
          <w:b w:val="1"/>
          <w:sz w:val="24"/>
          <w:szCs w:val="24"/>
          <w:u w:val="single"/>
          <w:rtl w:val="0"/>
        </w:rPr>
        <w:t xml:space="preserve">SCHEDULE 1: PUBLISHER SERVICES</w:t>
      </w:r>
    </w:p>
    <w:p w:rsidR="00000000" w:rsidDel="00000000" w:rsidP="00000000" w:rsidRDefault="00000000" w:rsidRPr="00000000" w14:paraId="000000A7">
      <w:pPr>
        <w:rPr/>
      </w:pPr>
      <w:r w:rsidDel="00000000" w:rsidR="00000000" w:rsidRPr="00000000">
        <w:rPr>
          <w:color w:val="ff4500"/>
          <w:rtl w:val="0"/>
        </w:rPr>
        <w:t xml:space="preserve">&lt;</w:t>
      </w:r>
      <w:r w:rsidDel="00000000" w:rsidR="00000000" w:rsidRPr="00000000">
        <w:rPr>
          <w:color w:val="008000"/>
          <w:vertAlign w:val="superscript"/>
          <w:rtl w:val="0"/>
        </w:rPr>
        <w:t xml:space="preserve">PublisherServicesSelect is "Upload Schedule"</w:t>
      </w:r>
      <w:r w:rsidDel="00000000" w:rsidR="00000000" w:rsidRPr="00000000">
        <w:rPr>
          <w:rtl w:val="0"/>
        </w:rPr>
        <w:t xml:space="preserve">{</w:t>
      </w:r>
      <w:r w:rsidDel="00000000" w:rsidR="00000000" w:rsidRPr="00000000">
        <w:rPr>
          <w:color w:val="0000ff"/>
          <w:rtl w:val="0"/>
        </w:rPr>
        <w:t xml:space="preserve">Include Document PublisherServicesUpload</w:t>
      </w:r>
      <w:r w:rsidDel="00000000" w:rsidR="00000000" w:rsidRPr="00000000">
        <w:rPr>
          <w:rtl w:val="0"/>
        </w:rPr>
        <w:t xml:space="preserve">}</w:t>
      </w:r>
      <w:r w:rsidDel="00000000" w:rsidR="00000000" w:rsidRPr="00000000">
        <w:rPr>
          <w:color w:val="ff4500"/>
          <w:rtl w:val="0"/>
        </w:rPr>
        <w:t xml:space="preserve">&gt;</w:t>
      </w:r>
      <w:r w:rsidDel="00000000" w:rsidR="00000000" w:rsidRPr="00000000">
        <w:rPr>
          <w:rtl w:val="0"/>
        </w:rPr>
      </w:r>
    </w:p>
    <w:p w:rsidR="00000000" w:rsidDel="00000000" w:rsidP="00000000" w:rsidRDefault="00000000" w:rsidRPr="00000000" w14:paraId="000000A8">
      <w:pPr>
        <w:rPr/>
      </w:pPr>
      <w:r w:rsidDel="00000000" w:rsidR="00000000" w:rsidRPr="00000000">
        <w:rPr>
          <w:color w:val="ff4500"/>
          <w:rtl w:val="0"/>
        </w:rPr>
        <w:t xml:space="preserve">&lt;</w:t>
      </w:r>
      <w:r w:rsidDel="00000000" w:rsidR="00000000" w:rsidRPr="00000000">
        <w:rPr>
          <w:color w:val="008000"/>
          <w:vertAlign w:val="superscript"/>
          <w:rtl w:val="0"/>
        </w:rPr>
        <w:t xml:space="preserve">PublisherServicesSelect is "Fill in Online"</w:t>
      </w:r>
      <w:r w:rsidDel="00000000" w:rsidR="00000000" w:rsidRPr="00000000">
        <w:rPr>
          <w:rtl w:val="0"/>
        </w:rPr>
        <w:t xml:space="preserve"> Subject to terms and conditions of the Agreement, the Publisher shall: {</w:t>
      </w:r>
      <w:r w:rsidDel="00000000" w:rsidR="00000000" w:rsidRPr="00000000">
        <w:rPr>
          <w:color w:val="0000ff"/>
          <w:rtl w:val="0"/>
        </w:rPr>
        <w:t xml:space="preserve">PublisherServicesInput</w:t>
      </w:r>
      <w:r w:rsidDel="00000000" w:rsidR="00000000" w:rsidRPr="00000000">
        <w:rPr>
          <w:rtl w:val="0"/>
        </w:rPr>
        <w:t xml:space="preserve">}</w:t>
      </w:r>
      <w:r w:rsidDel="00000000" w:rsidR="00000000" w:rsidRPr="00000000">
        <w:rPr>
          <w:color w:val="ff4500"/>
          <w:rtl w:val="0"/>
        </w:rPr>
        <w:t xml:space="preserve">&gt;</w:t>
      </w:r>
      <w:r w:rsidDel="00000000" w:rsidR="00000000" w:rsidRPr="00000000">
        <w:rPr>
          <w:rtl w:val="0"/>
        </w:rPr>
      </w:r>
    </w:p>
    <w:p w:rsidR="00000000" w:rsidDel="00000000" w:rsidP="00000000" w:rsidRDefault="00000000" w:rsidRPr="00000000" w14:paraId="000000A9">
      <w:pPr>
        <w:spacing w:after="240" w:before="120" w:lineRule="auto"/>
        <w:rPr>
          <w:b w:val="1"/>
        </w:rPr>
      </w:pPr>
      <w:r w:rsidDel="00000000" w:rsidR="00000000" w:rsidRPr="00000000">
        <w:rPr>
          <w:color w:val="ff4500"/>
          <w:rtl w:val="0"/>
        </w:rPr>
        <w:t xml:space="preserve">&lt;</w:t>
      </w:r>
      <w:r w:rsidDel="00000000" w:rsidR="00000000" w:rsidRPr="00000000">
        <w:rPr>
          <w:color w:val="008000"/>
          <w:vertAlign w:val="superscript"/>
          <w:rtl w:val="0"/>
        </w:rPr>
        <w:t xml:space="preserve">false</w:t>
      </w:r>
      <w:r w:rsidDel="00000000" w:rsidR="00000000" w:rsidRPr="00000000">
        <w:rPr>
          <w:rtl w:val="0"/>
        </w:rPr>
        <w:t xml:space="preserve">Subject to terms and conditions of the Agreement, the Publisher shall: </w:t>
      </w:r>
      <w:r w:rsidDel="00000000" w:rsidR="00000000" w:rsidRPr="00000000">
        <w:rPr>
          <w:rtl w:val="0"/>
        </w:rPr>
      </w:r>
    </w:p>
    <w:p w:rsidR="00000000" w:rsidDel="00000000" w:rsidP="00000000" w:rsidRDefault="00000000" w:rsidRPr="00000000" w14:paraId="000000AA">
      <w:pPr>
        <w:spacing w:after="240" w:before="120" w:lineRule="auto"/>
        <w:rPr>
          <w:b w:val="1"/>
        </w:rPr>
      </w:pPr>
      <w:r w:rsidDel="00000000" w:rsidR="00000000" w:rsidRPr="00000000">
        <w:rPr>
          <w:b w:val="1"/>
          <w:rtl w:val="0"/>
        </w:rPr>
        <w:t xml:space="preserve">[TO BE SPECIFIED FOR EACH AGREEMENT. WHAT FOLLOWS IS BY WAY OF EXAMPLE ONLY] </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 the Sponsored Project in the edition of the Journal or the Supplement to the Journal as set out in the Term Sheet or such other edition of the Journal as notified by the Publisher to the Client;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acknowledge the support of the Client by including the Client Marks on the on-line version of the Sponsored Project, linking through to the Client’s website [at the Website Location];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acknowledge the support of the Client on all marketing materials that solely and exclusively relate to the Sponsored Project by including the words “Produced with the support of [Sponsor name]” or words of a similar effect;</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reserve [insert </w:t>
      </w:r>
      <w:r w:rsidDel="00000000" w:rsidR="00000000" w:rsidRPr="00000000">
        <w:rPr>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([insert </w:t>
      </w:r>
      <w:r w:rsidDel="00000000" w:rsidR="00000000" w:rsidRPr="00000000">
        <w:rPr>
          <w:rtl w:val="0"/>
        </w:rPr>
        <w:t xml:space="preserve">text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pages in the Sponsored Project for the inclusion of Client Material;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 a message from the Client as the Client of the Sponsored Project on the Website Location from the Publication Date;</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grant free online access to [specify] for all the articles published in the Sponsored Project for a period of 6 (six) months from the Publication Date;</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[insert number] ([insert text]) print copies of the Sponsored Project to the Client within 60 (sixty) days of the Publication Date. [Additional print copies shall be made available for the Client to purchase from the Publisher at an agreed price of £[insert] per [100 copies]. Payment for such additional print copies shall be in accordance with clause 4 of the Standard Terms];</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 a banner advert from the Client on the Website Location for a period of [insert </w:t>
      </w:r>
      <w:r w:rsidDel="00000000" w:rsidR="00000000" w:rsidRPr="00000000">
        <w:rPr>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([insert text]) months from Publication Date;</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distribute the Sponsored Project as follows: [specify]</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[manage the peer-review process]; </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12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sectPr>
          <w:type w:val="nextPage"/>
          <w:pgSz w:h="16838" w:w="11906" w:orient="portrait"/>
          <w:pgMar w:bottom="1440" w:top="1440" w:left="1440" w:right="1440" w:header="708" w:footer="708"/>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w:t>
      </w:r>
      <w:r w:rsidDel="00000000" w:rsidR="00000000" w:rsidRPr="00000000">
        <w:rPr>
          <w:rFonts w:ascii="Calibri" w:cs="Calibri" w:eastAsia="Calibri" w:hAnsi="Calibri"/>
          <w:b w:val="0"/>
          <w:i w:val="0"/>
          <w:smallCaps w:val="0"/>
          <w:strike w:val="0"/>
          <w:color w:val="ff4500"/>
          <w:sz w:val="22"/>
          <w:szCs w:val="22"/>
          <w:u w:val="none"/>
          <w:shd w:fill="auto" w:val="clear"/>
          <w:vertAlign w:val="baseline"/>
          <w:rtl w:val="0"/>
        </w:rPr>
        <w:t xml:space="preserve">&gt;</w:t>
      </w:r>
      <w:r w:rsidDel="00000000" w:rsidR="00000000" w:rsidRPr="00000000">
        <w:rPr>
          <w:rtl w:val="0"/>
        </w:rPr>
      </w:r>
    </w:p>
    <w:p w:rsidR="00000000" w:rsidDel="00000000" w:rsidP="00000000" w:rsidRDefault="00000000" w:rsidRPr="00000000" w14:paraId="000000B6">
      <w:pPr>
        <w:spacing w:after="240" w:before="120" w:lineRule="auto"/>
        <w:jc w:val="center"/>
        <w:rPr>
          <w:b w:val="1"/>
          <w:sz w:val="24"/>
          <w:szCs w:val="24"/>
          <w:u w:val="single"/>
        </w:rPr>
      </w:pPr>
      <w:bookmarkStart w:colFirst="0" w:colLast="0" w:name="_heading=h.17dp8vu" w:id="9"/>
      <w:bookmarkEnd w:id="9"/>
      <w:r w:rsidDel="00000000" w:rsidR="00000000" w:rsidRPr="00000000">
        <w:rPr>
          <w:b w:val="1"/>
          <w:sz w:val="24"/>
          <w:szCs w:val="24"/>
          <w:u w:val="single"/>
          <w:rtl w:val="0"/>
        </w:rPr>
        <w:t xml:space="preserve">SCHEDULE 2: TECHNICAL SPECIFICATION</w:t>
      </w:r>
    </w:p>
    <w:p w:rsidR="00000000" w:rsidDel="00000000" w:rsidP="00000000" w:rsidRDefault="00000000" w:rsidRPr="00000000" w14:paraId="000000B7">
      <w:pPr>
        <w:spacing w:after="240" w:before="120" w:lineRule="auto"/>
        <w:rPr/>
      </w:pPr>
      <w:r w:rsidDel="00000000" w:rsidR="00000000" w:rsidRPr="00000000">
        <w:rPr>
          <w:rtl w:val="0"/>
        </w:rPr>
        <w:t xml:space="preserve">Client Materials - Client Marks:</w:t>
      </w:r>
    </w:p>
    <w:p w:rsidR="00000000" w:rsidDel="00000000" w:rsidP="00000000" w:rsidRDefault="00000000" w:rsidRPr="00000000" w14:paraId="000000B8">
      <w:pPr>
        <w:spacing w:after="240" w:before="120" w:lineRule="auto"/>
        <w:rPr/>
      </w:pPr>
      <w:r w:rsidDel="00000000" w:rsidR="00000000" w:rsidRPr="00000000">
        <w:rPr>
          <w:rtl w:val="0"/>
        </w:rPr>
        <w:t xml:space="preserve">The Client Marks should be supplied as an EPS file.</w:t>
      </w:r>
    </w:p>
    <w:p w:rsidR="00000000" w:rsidDel="00000000" w:rsidP="00000000" w:rsidRDefault="00000000" w:rsidRPr="00000000" w14:paraId="000000B9">
      <w:pPr>
        <w:spacing w:after="240" w:before="120" w:lineRule="auto"/>
        <w:rPr/>
      </w:pPr>
      <w:r w:rsidDel="00000000" w:rsidR="00000000" w:rsidRPr="00000000">
        <w:rPr>
          <w:rtl w:val="0"/>
        </w:rPr>
      </w:r>
    </w:p>
    <w:p w:rsidR="00000000" w:rsidDel="00000000" w:rsidP="00000000" w:rsidRDefault="00000000" w:rsidRPr="00000000" w14:paraId="000000BA">
      <w:pPr>
        <w:spacing w:after="240" w:before="120" w:lineRule="auto"/>
        <w:rPr/>
      </w:pPr>
      <w:r w:rsidDel="00000000" w:rsidR="00000000" w:rsidRPr="00000000">
        <w:rPr>
          <w:rtl w:val="0"/>
        </w:rPr>
        <w:t xml:space="preserve">Client Materials - Client pages:</w:t>
      </w:r>
    </w:p>
    <w:p w:rsidR="00000000" w:rsidDel="00000000" w:rsidP="00000000" w:rsidRDefault="00000000" w:rsidRPr="00000000" w14:paraId="000000BB">
      <w:pPr>
        <w:spacing w:after="240" w:before="120" w:lineRule="auto"/>
        <w:rPr/>
      </w:pPr>
      <w:r w:rsidDel="00000000" w:rsidR="00000000" w:rsidRPr="00000000">
        <w:rPr>
          <w:rtl w:val="0"/>
        </w:rPr>
        <w:t xml:space="preserve">All Client pages should be designed using the CMYK colour process.</w:t>
      </w:r>
    </w:p>
    <w:p w:rsidR="00000000" w:rsidDel="00000000" w:rsidP="00000000" w:rsidRDefault="00000000" w:rsidRPr="00000000" w14:paraId="000000BC">
      <w:pPr>
        <w:spacing w:after="240" w:before="120" w:lineRule="auto"/>
        <w:rPr/>
      </w:pPr>
      <w:r w:rsidDel="00000000" w:rsidR="00000000" w:rsidRPr="00000000">
        <w:rPr>
          <w:rtl w:val="0"/>
        </w:rPr>
        <w:t xml:space="preserve">Please supply all pages as single pages.</w:t>
      </w:r>
    </w:p>
    <w:p w:rsidR="00000000" w:rsidDel="00000000" w:rsidP="00000000" w:rsidRDefault="00000000" w:rsidRPr="00000000" w14:paraId="000000BD">
      <w:pPr>
        <w:spacing w:after="240" w:before="120" w:lineRule="auto"/>
        <w:rPr>
          <w:u w:val="single"/>
        </w:rPr>
      </w:pPr>
      <w:r w:rsidDel="00000000" w:rsidR="00000000" w:rsidRPr="00000000">
        <w:rPr>
          <w:u w:val="single"/>
          <w:rtl w:val="0"/>
        </w:rPr>
        <w:t xml:space="preserve">Electronic Files</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59" w:lineRule="auto"/>
        <w:ind w:left="709" w:right="0" w:hanging="709"/>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 If the pages have been prepared using DTP software QuarkXPress, please forward electronic files of the complete pages in Quark.</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59" w:lineRule="auto"/>
        <w:ind w:left="709" w:right="0" w:hanging="709"/>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Graphics – Please send electronic files of ALL graphics contained within the pages, including the Client’s logo. NPG can use TIFF, Postscript, EPS and JPEG files.</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59" w:lineRule="auto"/>
        <w:ind w:left="709" w:right="0" w:hanging="709"/>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PDF Files – In addition to sending the text and graphic files detailed above, all files should also be sent as PDF files.</w:t>
      </w:r>
      <w:r w:rsidDel="00000000" w:rsidR="00000000" w:rsidRPr="00000000">
        <w:rPr>
          <w:rtl w:val="0"/>
        </w:rPr>
      </w:r>
    </w:p>
    <w:p w:rsidR="00000000" w:rsidDel="00000000" w:rsidP="00000000" w:rsidRDefault="00000000" w:rsidRPr="00000000" w14:paraId="000000C1">
      <w:pPr>
        <w:spacing w:after="240" w:before="120" w:lineRule="auto"/>
        <w:rPr>
          <w:u w:val="single"/>
        </w:rPr>
      </w:pPr>
      <w:r w:rsidDel="00000000" w:rsidR="00000000" w:rsidRPr="00000000">
        <w:rPr>
          <w:rtl w:val="0"/>
        </w:rPr>
        <w:t xml:space="preserve">Final Client pages should be submitted to {</w:t>
      </w:r>
      <w:r w:rsidDel="00000000" w:rsidR="00000000" w:rsidRPr="00000000">
        <w:rPr>
          <w:color w:val="0000ff"/>
          <w:rtl w:val="0"/>
        </w:rPr>
        <w:t xml:space="preserve">PublisherContactName</w:t>
      </w:r>
      <w:r w:rsidDel="00000000" w:rsidR="00000000" w:rsidRPr="00000000">
        <w:rPr>
          <w:rtl w:val="0"/>
        </w:rPr>
        <w:t xml:space="preserve">} at {</w:t>
      </w:r>
      <w:r w:rsidDel="00000000" w:rsidR="00000000" w:rsidRPr="00000000">
        <w:rPr>
          <w:color w:val="0000ff"/>
          <w:rtl w:val="0"/>
        </w:rPr>
        <w:t xml:space="preserve">PublisherContactEmail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2">
      <w:pPr>
        <w:rPr>
          <w:u w:val="single"/>
        </w:rPr>
        <w:sectPr>
          <w:type w:val="nextPage"/>
          <w:pgSz w:h="16838" w:w="11906" w:orient="portrait"/>
          <w:pgMar w:bottom="1440" w:top="1440" w:left="1440" w:right="144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C3">
      <w:pPr>
        <w:spacing w:after="240" w:before="120" w:lineRule="auto"/>
        <w:rPr/>
      </w:pPr>
      <w:bookmarkStart w:colFirst="0" w:colLast="0" w:name="_heading=h.3rdcrjn" w:id="10"/>
      <w:bookmarkEnd w:id="10"/>
      <w:r w:rsidDel="00000000" w:rsidR="00000000" w:rsidRPr="00000000">
        <w:rPr>
          <w:color w:val="ff4500"/>
          <w:rtl w:val="0"/>
        </w:rPr>
        <w:t xml:space="preserve">&lt;</w:t>
      </w:r>
      <w:r w:rsidDel="00000000" w:rsidR="00000000" w:rsidRPr="00000000">
        <w:rPr>
          <w:color w:val="008000"/>
          <w:vertAlign w:val="superscript"/>
          <w:rtl w:val="0"/>
        </w:rPr>
        <w:t xml:space="preserve">Sch3Option</w:t>
      </w:r>
      <w:r w:rsidDel="00000000" w:rsidR="00000000" w:rsidRPr="00000000">
        <w:rPr>
          <w:color w:val="ff4500"/>
          <w:rtl w:val="0"/>
        </w:rPr>
        <w:t xml:space="preserve">&lt;</w:t>
      </w:r>
      <w:r w:rsidDel="00000000" w:rsidR="00000000" w:rsidRPr="00000000">
        <w:rPr>
          <w:color w:val="008000"/>
          <w:vertAlign w:val="superscript"/>
          <w:rtl w:val="0"/>
        </w:rPr>
        <w:t xml:space="preserve">Sch3Selection is "Research Based Advertorial Requirements"</w:t>
      </w:r>
      <w:r w:rsidDel="00000000" w:rsidR="00000000" w:rsidRPr="00000000">
        <w:rPr>
          <w:rtl w:val="0"/>
        </w:rPr>
        <w:t xml:space="preserve">{</w:t>
      </w:r>
      <w:r w:rsidDel="00000000" w:rsidR="00000000" w:rsidRPr="00000000">
        <w:rPr>
          <w:color w:val="0000ff"/>
          <w:rtl w:val="0"/>
        </w:rPr>
        <w:t xml:space="preserve">Attach Template ‘SponsoredProducts_Sch3_Research Based Advertorial Requirements’</w:t>
      </w:r>
      <w:r w:rsidDel="00000000" w:rsidR="00000000" w:rsidRPr="00000000">
        <w:rPr>
          <w:rtl w:val="0"/>
        </w:rPr>
        <w:t xml:space="preserve">}</w:t>
      </w:r>
      <w:r w:rsidDel="00000000" w:rsidR="00000000" w:rsidRPr="00000000">
        <w:rPr>
          <w:color w:val="ff4500"/>
          <w:rtl w:val="0"/>
        </w:rPr>
        <w:t xml:space="preserve">&gt;</w:t>
      </w:r>
      <w:r w:rsidDel="00000000" w:rsidR="00000000" w:rsidRPr="00000000">
        <w:rPr>
          <w:rtl w:val="0"/>
        </w:rPr>
      </w:r>
    </w:p>
    <w:p w:rsidR="00000000" w:rsidDel="00000000" w:rsidP="00000000" w:rsidRDefault="00000000" w:rsidRPr="00000000" w14:paraId="000000C4">
      <w:pPr>
        <w:spacing w:after="240" w:before="120" w:lineRule="auto"/>
        <w:rPr/>
      </w:pPr>
      <w:r w:rsidDel="00000000" w:rsidR="00000000" w:rsidRPr="00000000">
        <w:rPr>
          <w:color w:val="ff4500"/>
          <w:rtl w:val="0"/>
        </w:rPr>
        <w:t xml:space="preserve">&lt;</w:t>
      </w:r>
      <w:r w:rsidDel="00000000" w:rsidR="00000000" w:rsidRPr="00000000">
        <w:rPr>
          <w:color w:val="008000"/>
          <w:vertAlign w:val="superscript"/>
          <w:rtl w:val="0"/>
        </w:rPr>
        <w:t xml:space="preserve">Sch3Selection is "Sponsor Feature Guidelines"</w:t>
      </w:r>
      <w:r w:rsidDel="00000000" w:rsidR="00000000" w:rsidRPr="00000000">
        <w:rPr>
          <w:rtl w:val="0"/>
        </w:rPr>
        <w:t xml:space="preserve">{</w:t>
      </w:r>
      <w:r w:rsidDel="00000000" w:rsidR="00000000" w:rsidRPr="00000000">
        <w:rPr>
          <w:color w:val="0000ff"/>
          <w:rtl w:val="0"/>
        </w:rPr>
        <w:t xml:space="preserve">Include Template ‘SponsoredProducts_Sch3_White Paper Requirements’</w:t>
      </w:r>
      <w:r w:rsidDel="00000000" w:rsidR="00000000" w:rsidRPr="00000000">
        <w:rPr>
          <w:rtl w:val="0"/>
        </w:rPr>
        <w:t xml:space="preserve">}</w:t>
      </w:r>
      <w:r w:rsidDel="00000000" w:rsidR="00000000" w:rsidRPr="00000000">
        <w:rPr>
          <w:color w:val="ff4500"/>
          <w:rtl w:val="0"/>
        </w:rPr>
        <w:t xml:space="preserve">&gt;</w:t>
      </w:r>
      <w:r w:rsidDel="00000000" w:rsidR="00000000" w:rsidRPr="00000000">
        <w:rPr>
          <w:rtl w:val="0"/>
        </w:rPr>
      </w:r>
    </w:p>
    <w:p w:rsidR="00000000" w:rsidDel="00000000" w:rsidP="00000000" w:rsidRDefault="00000000" w:rsidRPr="00000000" w14:paraId="000000C5">
      <w:pPr>
        <w:spacing w:after="240" w:before="120" w:lineRule="auto"/>
        <w:rPr>
          <w:color w:val="3cb371"/>
        </w:rPr>
      </w:pPr>
      <w:r w:rsidDel="00000000" w:rsidR="00000000" w:rsidRPr="00000000">
        <w:rPr>
          <w:color w:val="ff4500"/>
          <w:rtl w:val="0"/>
        </w:rPr>
        <w:t xml:space="preserve">&lt;</w:t>
      </w:r>
      <w:r w:rsidDel="00000000" w:rsidR="00000000" w:rsidRPr="00000000">
        <w:rPr>
          <w:color w:val="008000"/>
          <w:vertAlign w:val="superscript"/>
          <w:rtl w:val="0"/>
        </w:rPr>
        <w:t xml:space="preserve">Sch3Selection is "Poster Requirements"</w:t>
      </w:r>
      <w:r w:rsidDel="00000000" w:rsidR="00000000" w:rsidRPr="00000000">
        <w:rPr>
          <w:rtl w:val="0"/>
        </w:rPr>
        <w:t xml:space="preserve">{</w:t>
      </w:r>
      <w:r w:rsidDel="00000000" w:rsidR="00000000" w:rsidRPr="00000000">
        <w:rPr>
          <w:color w:val="0000ff"/>
          <w:rtl w:val="0"/>
        </w:rPr>
        <w:t xml:space="preserve">Attach Template ‘SponsoredProducts_Sch3_Poster Requirements’</w:t>
      </w:r>
      <w:r w:rsidDel="00000000" w:rsidR="00000000" w:rsidRPr="00000000">
        <w:rPr>
          <w:rtl w:val="0"/>
        </w:rPr>
        <w:t xml:space="preserve">}</w:t>
      </w:r>
      <w:r w:rsidDel="00000000" w:rsidR="00000000" w:rsidRPr="00000000">
        <w:rPr>
          <w:color w:val="ff4500"/>
          <w:rtl w:val="0"/>
        </w:rPr>
        <w:t xml:space="preserve">&gt;</w:t>
      </w:r>
      <w:r w:rsidDel="00000000" w:rsidR="00000000" w:rsidRPr="00000000">
        <w:rPr>
          <w:rtl w:val="0"/>
        </w:rPr>
      </w:r>
    </w:p>
    <w:p w:rsidR="00000000" w:rsidDel="00000000" w:rsidP="00000000" w:rsidRDefault="00000000" w:rsidRPr="00000000" w14:paraId="000000C6">
      <w:pPr>
        <w:spacing w:after="240" w:before="120" w:lineRule="auto"/>
        <w:rPr/>
      </w:pPr>
      <w:r w:rsidDel="00000000" w:rsidR="00000000" w:rsidRPr="00000000">
        <w:rPr>
          <w:color w:val="ff4500"/>
          <w:rtl w:val="0"/>
        </w:rPr>
        <w:t xml:space="preserve">&lt;</w:t>
      </w:r>
      <w:r w:rsidDel="00000000" w:rsidR="00000000" w:rsidRPr="00000000">
        <w:rPr>
          <w:color w:val="008000"/>
          <w:vertAlign w:val="superscript"/>
          <w:rtl w:val="0"/>
        </w:rPr>
        <w:t xml:space="preserve">Sch3Selection is "Nature Outlook Guidelines"</w:t>
      </w:r>
      <w:r w:rsidDel="00000000" w:rsidR="00000000" w:rsidRPr="00000000">
        <w:rPr>
          <w:rtl w:val="0"/>
        </w:rPr>
        <w:t xml:space="preserve">{</w:t>
      </w:r>
      <w:r w:rsidDel="00000000" w:rsidR="00000000" w:rsidRPr="00000000">
        <w:rPr>
          <w:color w:val="0000ff"/>
          <w:rtl w:val="0"/>
        </w:rPr>
        <w:t xml:space="preserve">Include Template ‘SponsoredProducts_Sch3_Nature Outlook Guidelines’</w:t>
      </w:r>
      <w:r w:rsidDel="00000000" w:rsidR="00000000" w:rsidRPr="00000000">
        <w:rPr>
          <w:rtl w:val="0"/>
        </w:rPr>
        <w:t xml:space="preserve">}</w:t>
      </w:r>
      <w:r w:rsidDel="00000000" w:rsidR="00000000" w:rsidRPr="00000000">
        <w:rPr>
          <w:color w:val="ff4500"/>
          <w:rtl w:val="0"/>
        </w:rPr>
        <w:t xml:space="preserve">&gt;</w:t>
      </w:r>
      <w:r w:rsidDel="00000000" w:rsidR="00000000" w:rsidRPr="00000000">
        <w:rPr>
          <w:rtl w:val="0"/>
        </w:rPr>
      </w:r>
    </w:p>
    <w:p w:rsidR="00000000" w:rsidDel="00000000" w:rsidP="00000000" w:rsidRDefault="00000000" w:rsidRPr="00000000" w14:paraId="000000C7">
      <w:pPr>
        <w:rPr>
          <w:color w:val="3cb371"/>
        </w:rPr>
      </w:pPr>
      <w:r w:rsidDel="00000000" w:rsidR="00000000" w:rsidRPr="00000000">
        <w:rPr>
          <w:color w:val="ff4500"/>
          <w:rtl w:val="0"/>
        </w:rPr>
        <w:t xml:space="preserve">&lt;</w:t>
      </w:r>
      <w:r w:rsidDel="00000000" w:rsidR="00000000" w:rsidRPr="00000000">
        <w:rPr>
          <w:color w:val="008000"/>
          <w:vertAlign w:val="superscript"/>
          <w:rtl w:val="0"/>
        </w:rPr>
        <w:t xml:space="preserve">Sch3Selection is "Outline White Paper Requirements"</w:t>
      </w:r>
      <w:r w:rsidDel="00000000" w:rsidR="00000000" w:rsidRPr="00000000">
        <w:rPr>
          <w:rtl w:val="0"/>
        </w:rPr>
        <w:t xml:space="preserve">{</w:t>
      </w:r>
      <w:r w:rsidDel="00000000" w:rsidR="00000000" w:rsidRPr="00000000">
        <w:rPr>
          <w:color w:val="0000ff"/>
          <w:rtl w:val="0"/>
        </w:rPr>
        <w:t xml:space="preserve">Attach Template ‘SponsoredProducts_Sch3_Outline White Paper Requirements’</w:t>
      </w:r>
      <w:r w:rsidDel="00000000" w:rsidR="00000000" w:rsidRPr="00000000">
        <w:rPr>
          <w:rtl w:val="0"/>
        </w:rPr>
        <w:t xml:space="preserve">}</w:t>
      </w:r>
      <w:r w:rsidDel="00000000" w:rsidR="00000000" w:rsidRPr="00000000">
        <w:rPr>
          <w:color w:val="ff4500"/>
          <w:rtl w:val="0"/>
        </w:rPr>
        <w:t xml:space="preserve">&gt;&gt;</w:t>
      </w: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tabs>
        <w:tab w:val="center" w:leader="none" w:pos="4513"/>
        <w:tab w:val="right" w:leader="none" w:pos="9026"/>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2344535" cy="22631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44535" cy="2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709" w:hanging="709"/>
      </w:pPr>
      <w:rPr>
        <w:rFonts w:ascii="Calibri" w:cs="Calibri" w:eastAsia="Calibri" w:hAnsi="Calibri"/>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567" w:hanging="567"/>
      </w:pPr>
      <w:rPr>
        <w:rFonts w:ascii="Calibri" w:cs="Calibri" w:eastAsia="Calibri" w:hAnsi="Calibri"/>
        <w:b w:val="1"/>
        <w:i w:val="0"/>
        <w:smallCaps w:val="1"/>
        <w:sz w:val="16"/>
        <w:szCs w:val="16"/>
      </w:rPr>
    </w:lvl>
    <w:lvl w:ilvl="1">
      <w:start w:val="1"/>
      <w:numFmt w:val="decimal"/>
      <w:lvlText w:val="%1.%2"/>
      <w:lvlJc w:val="left"/>
      <w:pPr>
        <w:ind w:left="567" w:hanging="567"/>
      </w:pPr>
      <w:rPr>
        <w:rFonts w:ascii="Calibri" w:cs="Calibri" w:eastAsia="Calibri" w:hAnsi="Calibri"/>
        <w:b w:val="0"/>
        <w:i w:val="0"/>
        <w:smallCaps w:val="0"/>
        <w:sz w:val="16"/>
        <w:szCs w:val="16"/>
      </w:rPr>
    </w:lvl>
    <w:lvl w:ilvl="2">
      <w:start w:val="1"/>
      <w:numFmt w:val="decimal"/>
      <w:lvlText w:val="%1.%2.%3"/>
      <w:lvlJc w:val="left"/>
      <w:pPr>
        <w:ind w:left="1134" w:hanging="567"/>
      </w:pPr>
      <w:rPr>
        <w:rFonts w:ascii="Calibri" w:cs="Calibri" w:eastAsia="Calibri" w:hAnsi="Calibri"/>
        <w:b w:val="0"/>
        <w:i w:val="0"/>
        <w:sz w:val="16"/>
        <w:szCs w:val="16"/>
      </w:rPr>
    </w:lvl>
    <w:lvl w:ilvl="3">
      <w:start w:val="1"/>
      <w:numFmt w:val="lowerLetter"/>
      <w:lvlText w:val="%4)"/>
      <w:lvlJc w:val="left"/>
      <w:pPr>
        <w:ind w:left="1418" w:hanging="284"/>
      </w:pPr>
      <w:rPr>
        <w:rFonts w:ascii="Calibri" w:cs="Calibri" w:eastAsia="Calibri" w:hAnsi="Calibri"/>
        <w:b w:val="0"/>
        <w:i w:val="0"/>
        <w:sz w:val="16"/>
        <w:szCs w:val="16"/>
      </w:rPr>
    </w:lvl>
    <w:lvl w:ilvl="4">
      <w:start w:val="1"/>
      <w:numFmt w:val="decimal"/>
      <w:lvlText w:val="%1.%2.%3.%4.%5"/>
      <w:lvlJc w:val="left"/>
      <w:pPr>
        <w:ind w:left="1080" w:hanging="1080"/>
      </w:pPr>
      <w:rPr>
        <w:b w:val="0"/>
        <w:i w:val="0"/>
        <w:sz w:val="22"/>
        <w:szCs w:val="22"/>
      </w:rPr>
    </w:lvl>
    <w:lvl w:ilvl="5">
      <w:start w:val="1"/>
      <w:numFmt w:val="decimal"/>
      <w:lvlText w:val="%1.%2.%3.%4.%5.%6"/>
      <w:lvlJc w:val="left"/>
      <w:pPr>
        <w:ind w:left="1080" w:hanging="1080"/>
      </w:pPr>
      <w:rPr>
        <w:b w:val="0"/>
        <w:i w:val="0"/>
        <w:sz w:val="22"/>
        <w:szCs w:val="22"/>
      </w:rPr>
    </w:lvl>
    <w:lvl w:ilvl="6">
      <w:start w:val="1"/>
      <w:numFmt w:val="decimal"/>
      <w:lvlText w:val="%1.%2.%3.%4.%5.%6.%7"/>
      <w:lvlJc w:val="left"/>
      <w:pPr>
        <w:ind w:left="1440" w:hanging="1440"/>
      </w:pPr>
      <w:rPr/>
    </w:lvl>
    <w:lvl w:ilvl="7">
      <w:start w:val="1"/>
      <w:numFmt w:val="decimal"/>
      <w:lvlText w:val="%1.%2.%3.%4.%5.%6.%7.%8"/>
      <w:lvlJc w:val="left"/>
      <w:pPr>
        <w:ind w:left="1440" w:hanging="1440"/>
      </w:pPr>
      <w:rPr>
        <w:b w:val="0"/>
        <w:i w:val="0"/>
        <w:sz w:val="22"/>
        <w:szCs w:val="22"/>
      </w:rPr>
    </w:lvl>
    <w:lvl w:ilvl="8">
      <w:start w:val="1"/>
      <w:numFmt w:val="decimal"/>
      <w:lvlText w:val="%1.%2.%3.%4.%5.%6.%7.%8.%9"/>
      <w:lvlJc w:val="left"/>
      <w:pPr>
        <w:ind w:left="1800" w:hanging="1800"/>
      </w:pPr>
      <w:rPr>
        <w:b w:val="0"/>
        <w:i w:val="0"/>
        <w:sz w:val="22"/>
        <w:szCs w:val="22"/>
      </w:rPr>
    </w:lvl>
  </w:abstractNum>
  <w:abstractNum w:abstractNumId="3">
    <w:lvl w:ilvl="0">
      <w:start w:val="1"/>
      <w:numFmt w:val="lowerLetter"/>
      <w:lvlText w:val="(%1)"/>
      <w:lvlJc w:val="left"/>
      <w:pPr>
        <w:ind w:left="72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56" w:lineRule="auto"/>
      <w:ind w:left="10" w:hanging="10"/>
    </w:pPr>
    <w:rPr>
      <w:rFonts w:ascii="Calibri" w:cs="Calibri" w:eastAsia="Calibri" w:hAnsi="Calibri"/>
      <w:b w:val="1"/>
      <w:i w:val="1"/>
      <w:color w:val="555655"/>
      <w:sz w:val="20"/>
      <w:szCs w:val="20"/>
    </w:rPr>
  </w:style>
  <w:style w:type="paragraph" w:styleId="Heading2">
    <w:name w:val="heading 2"/>
    <w:basedOn w:val="Normal"/>
    <w:next w:val="Normal"/>
    <w:pPr>
      <w:keepNext w:val="1"/>
      <w:keepLines w:val="1"/>
      <w:spacing w:after="895" w:lineRule="auto"/>
      <w:ind w:left="3045"/>
      <w:jc w:val="center"/>
    </w:pPr>
    <w:rPr>
      <w:rFonts w:ascii="Calibri" w:cs="Calibri" w:eastAsia="Calibri" w:hAnsi="Calibri"/>
      <w:b w:val="1"/>
      <w:color w:val="181717"/>
      <w:sz w:val="9"/>
      <w:szCs w:val="9"/>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56" w:lineRule="auto"/>
      <w:ind w:left="10" w:hanging="10"/>
    </w:pPr>
    <w:rPr>
      <w:rFonts w:ascii="Calibri" w:cs="Calibri" w:eastAsia="Calibri" w:hAnsi="Calibri"/>
      <w:b w:val="1"/>
      <w:i w:val="1"/>
      <w:color w:val="555655"/>
      <w:sz w:val="20"/>
      <w:szCs w:val="20"/>
    </w:rPr>
  </w:style>
  <w:style w:type="paragraph" w:styleId="Heading2">
    <w:name w:val="heading 2"/>
    <w:basedOn w:val="Normal"/>
    <w:next w:val="Normal"/>
    <w:pPr>
      <w:keepNext w:val="1"/>
      <w:keepLines w:val="1"/>
      <w:spacing w:after="895" w:lineRule="auto"/>
      <w:ind w:left="3045"/>
      <w:jc w:val="center"/>
    </w:pPr>
    <w:rPr>
      <w:rFonts w:ascii="Calibri" w:cs="Calibri" w:eastAsia="Calibri" w:hAnsi="Calibri"/>
      <w:b w:val="1"/>
      <w:color w:val="181717"/>
      <w:sz w:val="9"/>
      <w:szCs w:val="9"/>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56" w:lineRule="auto"/>
      <w:ind w:left="10" w:hanging="10"/>
    </w:pPr>
    <w:rPr>
      <w:rFonts w:ascii="Calibri" w:cs="Calibri" w:eastAsia="Calibri" w:hAnsi="Calibri"/>
      <w:b w:val="1"/>
      <w:i w:val="1"/>
      <w:color w:val="555655"/>
      <w:sz w:val="20"/>
      <w:szCs w:val="20"/>
    </w:rPr>
  </w:style>
  <w:style w:type="paragraph" w:styleId="Heading2">
    <w:name w:val="heading 2"/>
    <w:basedOn w:val="Normal"/>
    <w:next w:val="Normal"/>
    <w:pPr>
      <w:keepNext w:val="1"/>
      <w:keepLines w:val="1"/>
      <w:spacing w:after="895" w:lineRule="auto"/>
      <w:ind w:left="3045"/>
      <w:jc w:val="center"/>
    </w:pPr>
    <w:rPr>
      <w:rFonts w:ascii="Calibri" w:cs="Calibri" w:eastAsia="Calibri" w:hAnsi="Calibri"/>
      <w:b w:val="1"/>
      <w:color w:val="181717"/>
      <w:sz w:val="9"/>
      <w:szCs w:val="9"/>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6" w:before="0" w:line="259" w:lineRule="auto"/>
      <w:ind w:left="10" w:right="0" w:hanging="10"/>
      <w:jc w:val="left"/>
    </w:pPr>
    <w:rPr>
      <w:rFonts w:ascii="Calibri" w:cs="Calibri" w:eastAsia="Calibri" w:hAnsi="Calibri"/>
      <w:b w:val="1"/>
      <w:i w:val="1"/>
      <w:smallCaps w:val="0"/>
      <w:strike w:val="0"/>
      <w:color w:val="555655"/>
      <w:sz w:val="20"/>
      <w:szCs w:val="2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95" w:before="0" w:line="259" w:lineRule="auto"/>
      <w:ind w:left="3045" w:right="0" w:hanging="3045"/>
      <w:jc w:val="center"/>
    </w:pPr>
    <w:rPr>
      <w:rFonts w:ascii="Calibri" w:cs="Calibri" w:eastAsia="Calibri" w:hAnsi="Calibri"/>
      <w:b w:val="1"/>
      <w:i w:val="0"/>
      <w:smallCaps w:val="0"/>
      <w:strike w:val="0"/>
      <w:color w:val="181717"/>
      <w:sz w:val="9"/>
      <w:szCs w:val="9"/>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next w:val="Normal"/>
    <w:link w:val="Heading1Char"/>
    <w:uiPriority w:val="9"/>
    <w:qFormat w:val="1"/>
    <w:pPr>
      <w:keepNext w:val="1"/>
      <w:keepLines w:val="1"/>
      <w:spacing w:after="56"/>
      <w:ind w:left="10" w:hanging="10"/>
      <w:outlineLvl w:val="0"/>
    </w:pPr>
    <w:rPr>
      <w:rFonts w:ascii="Calibri" w:cs="Calibri" w:eastAsia="Calibri" w:hAnsi="Calibri"/>
      <w:b w:val="1"/>
      <w:i w:val="1"/>
      <w:color w:val="555655"/>
      <w:sz w:val="20"/>
      <w:lang w:eastAsia="en-GB"/>
    </w:rPr>
  </w:style>
  <w:style w:type="paragraph" w:styleId="Heading2">
    <w:name w:val="heading 2"/>
    <w:next w:val="Normal"/>
    <w:link w:val="Heading2Char"/>
    <w:uiPriority w:val="9"/>
    <w:unhideWhenUsed w:val="1"/>
    <w:qFormat w:val="1"/>
    <w:pPr>
      <w:keepNext w:val="1"/>
      <w:keepLines w:val="1"/>
      <w:spacing w:after="895"/>
      <w:ind w:left="3045"/>
      <w:jc w:val="center"/>
      <w:outlineLvl w:val="1"/>
    </w:pPr>
    <w:rPr>
      <w:rFonts w:ascii="Calibri" w:cs="Calibri" w:eastAsia="Calibri" w:hAnsi="Calibri"/>
      <w:b w:val="1"/>
      <w:color w:val="181717"/>
      <w:sz w:val="9"/>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Pr>
      <w:color w:val="0563c1" w:themeColor="hyperlink"/>
      <w:u w:val="single"/>
    </w:rPr>
  </w:style>
  <w:style w:type="character" w:styleId="UnresolvedMention" w:customStyle="1">
    <w:name w:val="Unresolved Mention"/>
    <w:basedOn w:val="DefaultParagraphFont"/>
    <w:uiPriority w:val="99"/>
    <w:semiHidden w:val="1"/>
    <w:unhideWhenUsed w:val="1"/>
    <w:rPr>
      <w:color w:val="605e5c"/>
      <w:shd w:color="auto" w:fill="e1dfdd" w:val="clear"/>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sz w:val="18"/>
      <w:szCs w:val="18"/>
    </w:rPr>
  </w:style>
  <w:style w:type="character" w:styleId="Heading1Char" w:customStyle="1">
    <w:name w:val="Heading 1 Char"/>
    <w:basedOn w:val="DefaultParagraphFont"/>
    <w:link w:val="Heading1"/>
    <w:uiPriority w:val="9"/>
    <w:rPr>
      <w:rFonts w:ascii="Calibri" w:cs="Calibri" w:eastAsia="Calibri" w:hAnsi="Calibri"/>
      <w:b w:val="1"/>
      <w:i w:val="1"/>
      <w:color w:val="555655"/>
      <w:sz w:val="20"/>
      <w:lang w:eastAsia="en-GB"/>
    </w:rPr>
  </w:style>
  <w:style w:type="character" w:styleId="Heading2Char" w:customStyle="1">
    <w:name w:val="Heading 2 Char"/>
    <w:basedOn w:val="DefaultParagraphFont"/>
    <w:link w:val="Heading2"/>
    <w:uiPriority w:val="9"/>
    <w:rPr>
      <w:rFonts w:ascii="Calibri" w:cs="Calibri" w:eastAsia="Calibri" w:hAnsi="Calibri"/>
      <w:b w:val="1"/>
      <w:color w:val="181717"/>
      <w:sz w:val="9"/>
      <w:lang w:eastAsia="en-GB"/>
    </w:rPr>
  </w:style>
  <w:style w:type="paragraph" w:styleId="Revision">
    <w:name w:val="Revision"/>
    <w:hidden w:val="1"/>
    <w:uiPriority w:val="99"/>
    <w:semiHidden w:val="1"/>
    <w:rsid w:val="00463902"/>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5TQDhY4GA44G9V4lJycUgnm6Gg==">CgMxLjAyCWguMzBqMHpsbDIJaC4xZm9iOXRlMgloLjN6bnlzaDcyCWguMmV0OTJwMDIIaC50eWpjd3QyCWguM2R5NnZrbTIJaC4xdDNoNXNmMgloLjRkMzRvZzgyCWguMnM4ZXlvMTIJaC4xN2RwOHZ1MgloLjNyZGNyam44AHIhMXlSY3RhRWdELS1EbU9NdXVteXB3eWlqcVhIU09MN2JM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30E9F2A20C5C443A7B023CEC4617E5E" ma:contentTypeVersion="4" ma:contentTypeDescription="Create a new document." ma:contentTypeScope="" ma:versionID="3882b8ce0f9b8e001eb70cdd7812c647">
  <xsd:schema xmlns:xsd="http://www.w3.org/2001/XMLSchema" xmlns:xs="http://www.w3.org/2001/XMLSchema" xmlns:p="http://schemas.microsoft.com/office/2006/metadata/properties" xmlns:ns2="d4b25fa0-53f7-4eb9-b97c-82885ece0b62" targetNamespace="http://schemas.microsoft.com/office/2006/metadata/properties" ma:root="true" ma:fieldsID="e75309a52925979132c342c53d652b28" ns2:_="">
    <xsd:import namespace="d4b25fa0-53f7-4eb9-b97c-82885ece0b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25fa0-53f7-4eb9-b97c-82885ece0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D4CA881-06E2-4130-B37E-A5E61A23C3A1}"/>
</file>

<file path=customXML/itemProps3.xml><?xml version="1.0" encoding="utf-8"?>
<ds:datastoreItem xmlns:ds="http://schemas.openxmlformats.org/officeDocument/2006/customXml" ds:itemID="{6923A884-79F5-4C32-A918-D47EDC03A4AB}"/>
</file>

<file path=customXML/itemProps4.xml><?xml version="1.0" encoding="utf-8"?>
<ds:datastoreItem xmlns:ds="http://schemas.openxmlformats.org/officeDocument/2006/customXml" ds:itemID="{A5AC7FAA-E040-450B-B938-441F10394C1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Michael Höfinger</dc:creator>
  <dcterms:created xsi:type="dcterms:W3CDTF">2022-11-08T09:20:00Z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0x010100630E9F2A20C5C443A7B023CEC4617E5E</vt:lpwstr>
  </property>
  <property fmtid="{D5CDD505-2E9C-101B-9397-08002B2CF9AE}" pid="3" name="Order">
    <vt:r8>9300</vt:r8>
  </property>
</Properties>
</file>